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АДМИНИСТРАЦИЯ МО "ВОЛОДАРСКИЙ РАЙОН"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АСТРАХАНСКОЙ ОБЛАСТИ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РАСПОРЯЖЕНИЕ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4927"/>
        <w:gridCol w:w="4927"/>
      </w:tblGrid>
      <w:tr>
        <w:trPr>
          <w:trHeight w:val="1" w:hRule="atLeast"/>
          <w:jc w:val="left"/>
        </w:trPr>
        <w:tc>
          <w:tcPr>
            <w:tcW w:w="49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от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u w:val="single"/>
                <w:shd w:fill="auto" w:val="clear"/>
              </w:rPr>
              <w:t xml:space="preserve">08.04.2013 г.</w:t>
            </w:r>
          </w:p>
        </w:tc>
        <w:tc>
          <w:tcPr>
            <w:tcW w:w="49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u w:val="single"/>
                <w:shd w:fill="auto" w:val="clear"/>
              </w:rPr>
              <w:t xml:space="preserve">244-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u w:val="single"/>
                <w:shd w:fill="auto" w:val="clear"/>
              </w:rPr>
              <w:t xml:space="preserve">р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плане мероприятий (дорожной карте)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Изменения в отраслях социальной сферы,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направленные на повышение эффективности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сферы культуры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Указом Президента Российской Федерации от 07.05.2012 № 597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мероприятиях по реализации государственной социальной политики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Программой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Российской Федерации от 26.11.2012 № 2190-р: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прилагаемый план мероприятий (дорожную карту)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Изменения в отраслях социальной сферы, направленные на повышение эффективности сферы культуры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далее – план) (Приложение № 1).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Комитету по культуре администрации 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Володарский район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Абулгазиев) осуществлять мониторинг и контроль за реализацией плана.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Сектору информационных технологий организационного отдела администрации 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Володарский район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Лукманов)  разместить настоящее постановление на сайте 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Володарский район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                   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настоящего распоряжения возложить на  заместителя главы администрации 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Володарский район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финансовой политике и бюджетной дисциплине  Бояркину О.В.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42" w:firstLine="57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администрации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Володарский район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Б.Г. Миндиев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2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№ 1</w:t>
      </w:r>
    </w:p>
    <w:p>
      <w:pPr>
        <w:spacing w:before="0" w:after="0" w:line="240"/>
        <w:ind w:right="0" w:left="0" w:firstLine="72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распоряжению администрации </w:t>
      </w:r>
    </w:p>
    <w:p>
      <w:pPr>
        <w:spacing w:before="0" w:after="0" w:line="240"/>
        <w:ind w:right="0" w:left="0" w:firstLine="72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Володарский район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72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08.04.2013 г.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№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244-р</w:t>
      </w:r>
    </w:p>
    <w:p>
      <w:pPr>
        <w:spacing w:before="0" w:after="0" w:line="240"/>
        <w:ind w:right="0" w:left="0" w:firstLine="72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72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567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План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мероприятий (дорожная карта)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Изменения в отраслях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социальной сферы, направленные на повышение эффективности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сферы культуры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60" w:after="16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Цели разработки дорожной карты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Целями плана мероприятий (дорожной карты)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Изменения в отраслях социальной сферы, направленные на повышение эффективности сферы культуры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далее – дорожная карта) являются: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повышение качества жизни граждан Российской Федерации, проживающих на территории Володарского района путем предоставления им возможности саморазвития через регулярные занятия творчеством по свободно выбранному ими направлению, воспитание (формирование) подрастающего поколения в духе культурных традиций страны,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обеспечение достойной оплаты труда работников учреждений культуры как результат повышения качества и количества оказываемых ими государственных (муниципальных) услуг;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и сохранение кадрового потенциала учреждений культуры;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повышение престижности и привлекательности профессий в сфере культуры;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сохранение культурного и исторического наследия народов Российской Федерации, обеспечение доступа граждан к культурным ценностям и участию в культурной жизни, реализация творческого потенциала нации;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создание благоприятных условий для устойчивого развития сферы культуры.</w:t>
      </w:r>
    </w:p>
    <w:p>
      <w:pPr>
        <w:spacing w:before="160" w:after="16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Проведение структурных реформ в сфере культуры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рамках структурных реформ предусматриваются: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повышение качества и расширение спектра государственных услуг в сфере культуры;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обеспечение доступности к культурному продукту путем информатизации отрасли (создание электронных библиотек, размещение в информационно-телекоммуникационной сети Интернет (далее - сеть Интернет);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конкурентной среды в отрасли культуры путем расширения грантовой поддержки творческих проектов;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создание условий для творческой самореализации граждан Российской Федерации, проживающих на территории Володарский района Астраханской области;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вовлечение населения в создание и продвижение культурного продукта;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участие сферы культуры в формировании комфортной среды жизнедеятельности населенных пунктов;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популяризация территорий Володарский района Астраханской области во внутреннем и внешнем культурно-туристическом пространстве.</w:t>
      </w:r>
    </w:p>
    <w:p>
      <w:pPr>
        <w:spacing w:before="160" w:after="16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Целевые показатели (индикаторы) развития сферы культуры и меры, обеспечивающие их достижение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ростом эффективности и качества оказываемых услуг будут достигнуты следующие целевые показатели (индикаторы):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Увеличение количества библиографических записей в сводном электронном каталоге библиотек Российской Федерации (по сравнению с предыдущим годом):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процентов)</w:t>
      </w:r>
    </w:p>
    <w:tbl>
      <w:tblPr/>
      <w:tblGrid>
        <w:gridCol w:w="2112"/>
        <w:gridCol w:w="2112"/>
        <w:gridCol w:w="2112"/>
        <w:gridCol w:w="2112"/>
        <w:gridCol w:w="2112"/>
        <w:gridCol w:w="2113"/>
        <w:gridCol w:w="2113"/>
      </w:tblGrid>
      <w:tr>
        <w:trPr>
          <w:trHeight w:val="1" w:hRule="atLeast"/>
          <w:jc w:val="center"/>
        </w:trPr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</w:t>
            </w:r>
          </w:p>
        </w:tc>
        <w:tc>
          <w:tcPr>
            <w:tcW w:w="2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</w:t>
            </w:r>
          </w:p>
        </w:tc>
        <w:tc>
          <w:tcPr>
            <w:tcW w:w="2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</w:t>
            </w:r>
          </w:p>
        </w:tc>
      </w:tr>
      <w:tr>
        <w:trPr>
          <w:trHeight w:val="1" w:hRule="atLeast"/>
          <w:jc w:val="center"/>
        </w:trPr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0,05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0,06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0,07</w:t>
            </w:r>
          </w:p>
        </w:tc>
        <w:tc>
          <w:tcPr>
            <w:tcW w:w="2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0,08</w:t>
            </w:r>
          </w:p>
        </w:tc>
        <w:tc>
          <w:tcPr>
            <w:tcW w:w="2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0,09</w:t>
            </w:r>
          </w:p>
        </w:tc>
      </w:tr>
    </w:tbl>
    <w:p>
      <w:pPr>
        <w:spacing w:before="160" w:after="16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Увеличение численности участников культурно-досуговых мероприятий (по сравнению с предыдущим годом):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процентов)</w:t>
      </w:r>
    </w:p>
    <w:tbl>
      <w:tblPr/>
      <w:tblGrid>
        <w:gridCol w:w="2112"/>
        <w:gridCol w:w="2112"/>
        <w:gridCol w:w="2112"/>
        <w:gridCol w:w="2112"/>
        <w:gridCol w:w="2112"/>
        <w:gridCol w:w="2113"/>
        <w:gridCol w:w="2113"/>
      </w:tblGrid>
      <w:tr>
        <w:trPr>
          <w:trHeight w:val="1" w:hRule="atLeast"/>
          <w:jc w:val="left"/>
        </w:trPr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</w:t>
            </w:r>
          </w:p>
        </w:tc>
        <w:tc>
          <w:tcPr>
            <w:tcW w:w="2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</w:t>
            </w:r>
          </w:p>
        </w:tc>
        <w:tc>
          <w:tcPr>
            <w:tcW w:w="2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</w:t>
            </w:r>
          </w:p>
        </w:tc>
      </w:tr>
      <w:tr>
        <w:trPr>
          <w:trHeight w:val="1" w:hRule="atLeast"/>
          <w:jc w:val="left"/>
        </w:trPr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11,0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11,1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11,2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11,3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11,4</w:t>
            </w:r>
          </w:p>
        </w:tc>
        <w:tc>
          <w:tcPr>
            <w:tcW w:w="2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11,5</w:t>
            </w:r>
          </w:p>
        </w:tc>
        <w:tc>
          <w:tcPr>
            <w:tcW w:w="2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11,6</w:t>
            </w:r>
          </w:p>
        </w:tc>
      </w:tr>
    </w:tbl>
    <w:p>
      <w:pPr>
        <w:spacing w:before="160" w:after="16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Повышение уровня удовлетворенности граждан Российской Федерации качеством предоставления государственных и муниципальных услуг в сфере культуры: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процентов)</w:t>
      </w:r>
    </w:p>
    <w:tbl>
      <w:tblPr/>
      <w:tblGrid>
        <w:gridCol w:w="2112"/>
        <w:gridCol w:w="2112"/>
        <w:gridCol w:w="2112"/>
        <w:gridCol w:w="2112"/>
        <w:gridCol w:w="2112"/>
        <w:gridCol w:w="2113"/>
        <w:gridCol w:w="2113"/>
      </w:tblGrid>
      <w:tr>
        <w:trPr>
          <w:trHeight w:val="1" w:hRule="atLeast"/>
          <w:jc w:val="center"/>
        </w:trPr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</w:t>
            </w:r>
          </w:p>
        </w:tc>
        <w:tc>
          <w:tcPr>
            <w:tcW w:w="2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</w:t>
            </w:r>
          </w:p>
        </w:tc>
        <w:tc>
          <w:tcPr>
            <w:tcW w:w="2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</w:t>
            </w:r>
          </w:p>
        </w:tc>
      </w:tr>
      <w:tr>
        <w:trPr>
          <w:trHeight w:val="1" w:hRule="atLeast"/>
          <w:jc w:val="center"/>
        </w:trPr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55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58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63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65</w:t>
            </w:r>
          </w:p>
        </w:tc>
        <w:tc>
          <w:tcPr>
            <w:tcW w:w="2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68</w:t>
            </w:r>
          </w:p>
        </w:tc>
        <w:tc>
          <w:tcPr>
            <w:tcW w:w="2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70</w:t>
            </w:r>
          </w:p>
        </w:tc>
      </w:tr>
    </w:tbl>
    <w:p>
      <w:pPr>
        <w:spacing w:before="160" w:after="16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3.1.4.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Увеличение доли публичных библиотек, подключенных к сети Интернет, в общем количестве библиотек Володарского района Астраханской области: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процентов)</w:t>
      </w:r>
    </w:p>
    <w:tbl>
      <w:tblPr/>
      <w:tblGrid>
        <w:gridCol w:w="2112"/>
        <w:gridCol w:w="2112"/>
        <w:gridCol w:w="2112"/>
        <w:gridCol w:w="2112"/>
        <w:gridCol w:w="2112"/>
        <w:gridCol w:w="2113"/>
        <w:gridCol w:w="2113"/>
      </w:tblGrid>
      <w:tr>
        <w:trPr>
          <w:trHeight w:val="1" w:hRule="atLeast"/>
          <w:jc w:val="left"/>
        </w:trPr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</w:t>
            </w:r>
          </w:p>
        </w:tc>
        <w:tc>
          <w:tcPr>
            <w:tcW w:w="2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</w:t>
            </w:r>
          </w:p>
        </w:tc>
        <w:tc>
          <w:tcPr>
            <w:tcW w:w="2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</w:t>
            </w:r>
          </w:p>
        </w:tc>
      </w:tr>
      <w:tr>
        <w:trPr>
          <w:trHeight w:val="1" w:hRule="atLeast"/>
          <w:jc w:val="left"/>
        </w:trPr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34,0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45,0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55,0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68,0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78,0</w:t>
            </w:r>
          </w:p>
        </w:tc>
        <w:tc>
          <w:tcPr>
            <w:tcW w:w="2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90,0</w:t>
            </w:r>
          </w:p>
        </w:tc>
        <w:tc>
          <w:tcPr>
            <w:tcW w:w="2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100,0</w:t>
            </w:r>
          </w:p>
        </w:tc>
      </w:tr>
    </w:tbl>
    <w:p>
      <w:pPr>
        <w:spacing w:before="160" w:after="16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3.1.15.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Увеличение доли детей, привлекаемых к участию в творческих мероприятиях, в общем числе детей: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процентов)</w:t>
      </w:r>
    </w:p>
    <w:tbl>
      <w:tblPr/>
      <w:tblGrid>
        <w:gridCol w:w="2112"/>
        <w:gridCol w:w="2112"/>
        <w:gridCol w:w="2112"/>
        <w:gridCol w:w="2112"/>
        <w:gridCol w:w="2112"/>
        <w:gridCol w:w="2113"/>
        <w:gridCol w:w="2113"/>
      </w:tblGrid>
      <w:tr>
        <w:trPr>
          <w:trHeight w:val="1" w:hRule="atLeast"/>
          <w:jc w:val="left"/>
        </w:trPr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</w:t>
            </w:r>
          </w:p>
        </w:tc>
        <w:tc>
          <w:tcPr>
            <w:tcW w:w="2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</w:t>
            </w:r>
          </w:p>
        </w:tc>
        <w:tc>
          <w:tcPr>
            <w:tcW w:w="2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3,98</w:t>
            </w:r>
          </w:p>
        </w:tc>
      </w:tr>
      <w:tr>
        <w:trPr>
          <w:trHeight w:val="1" w:hRule="atLeast"/>
          <w:jc w:val="left"/>
        </w:trPr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19,38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19,4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19,8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20,2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20,69</w:t>
            </w:r>
          </w:p>
        </w:tc>
        <w:tc>
          <w:tcPr>
            <w:tcW w:w="2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21,07</w:t>
            </w:r>
          </w:p>
        </w:tc>
        <w:tc>
          <w:tcPr>
            <w:tcW w:w="2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21,18</w:t>
            </w:r>
          </w:p>
        </w:tc>
      </w:tr>
    </w:tbl>
    <w:p>
      <w:pPr>
        <w:spacing w:before="160" w:after="16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60" w:after="16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3.1.16.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Увеличение общей суммы  грантов для поддержки творческих проектов в области культуры и искусства:</w:t>
      </w:r>
    </w:p>
    <w:p>
      <w:pPr>
        <w:spacing w:before="0" w:after="0" w:line="240"/>
        <w:ind w:right="0" w:left="0" w:firstLine="54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тыс. руб.)</w:t>
      </w:r>
    </w:p>
    <w:tbl>
      <w:tblPr/>
      <w:tblGrid>
        <w:gridCol w:w="2112"/>
        <w:gridCol w:w="2112"/>
        <w:gridCol w:w="2112"/>
        <w:gridCol w:w="2112"/>
        <w:gridCol w:w="2112"/>
        <w:gridCol w:w="2113"/>
        <w:gridCol w:w="2113"/>
      </w:tblGrid>
      <w:tr>
        <w:trPr>
          <w:trHeight w:val="1" w:hRule="atLeast"/>
          <w:jc w:val="left"/>
        </w:trPr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54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54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54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54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54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</w:t>
            </w:r>
          </w:p>
        </w:tc>
        <w:tc>
          <w:tcPr>
            <w:tcW w:w="2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54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</w:t>
            </w:r>
          </w:p>
        </w:tc>
        <w:tc>
          <w:tcPr>
            <w:tcW w:w="2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54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</w:t>
            </w:r>
          </w:p>
        </w:tc>
      </w:tr>
      <w:tr>
        <w:trPr>
          <w:trHeight w:val="1" w:hRule="atLeast"/>
          <w:jc w:val="left"/>
        </w:trPr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54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100,0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54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18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54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30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54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30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54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30</w:t>
            </w:r>
          </w:p>
        </w:tc>
        <w:tc>
          <w:tcPr>
            <w:tcW w:w="2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54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30</w:t>
            </w:r>
          </w:p>
        </w:tc>
        <w:tc>
          <w:tcPr>
            <w:tcW w:w="2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54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30</w:t>
            </w:r>
          </w:p>
        </w:tc>
      </w:tr>
    </w:tbl>
    <w:p>
      <w:pPr>
        <w:spacing w:before="160" w:after="16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Мерами, обеспечивающими достижение целевых показателей (индикаторов) развития сферы культуры, являются: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3.2.1.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Создание механизма стимулирования работников учреждений культуры, оказывающих услуги (выполняющих работы)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государственных (муниципальных) услуг.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3.2.2.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Поэтапный рост оплаты труда работников учреждений культуры, достижение целевых показателей по доведению уровня оплаты труда (средней заработной платы) работников учреждений культуры до средней заработной платы в регионах Российской Федерации в соответствии с Указом Президента Российской Федерации от 07.05.2012 № 597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мероприятиях по реализации государственной социальной политики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далее - Указ Президента Российской Федерации от 07.05.2012 № 597).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3.2.3.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Обновление квалификационных требований к работникам, переобучение, повышение квалификации, приток квалифицированных кадров, создание предпосылок для появления в бюджетном секторе конкурентоспособных специалистов и менеджеров, сохранение и развитие кадрового потенциала работников сферы культуры.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3.2.4.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Реорганизация неэффективных учреждений культуры.</w:t>
      </w:r>
    </w:p>
    <w:p>
      <w:pPr>
        <w:spacing w:before="160" w:after="160" w:line="240"/>
        <w:ind w:right="0" w:left="0" w:firstLine="72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Мероприятия по совершенствованию оплаты труда работников учреждений культуры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Разработка и проведение мероприятий по совершенствованию оплаты труда работников учреждений культуры должны осуществляться с учетом Программы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26.11.2012 № 2190-р,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учреждений, утверждаемых на соответствующий год решением Российской трехсторонней комиссии по регулированию социально-трудовых отношений. Учитывая специфику деятельности учреждений культуры, при планировании размеров средств, направляемых на повышение заработной платы работников, в качестве приоритетных рассматриваются библиотеки,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культурно-досуговые учреждения и музеи.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этом объемы финансирования соотносятся с выполнением этими учреждениями показателей эффективности и достижением целевых показателей (индикаторов).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Показателями (индикаторами), характеризующими эффективность мероприятий по совершенствованию оплаты труда работников учреждений культуры, являются: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4.2.1.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Российской Федерации от 07.05.2012 № 597, и средней заработной платы в субъектах Российской Федерации: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процентов)</w:t>
      </w:r>
    </w:p>
    <w:tbl>
      <w:tblPr/>
      <w:tblGrid>
        <w:gridCol w:w="2112"/>
        <w:gridCol w:w="2112"/>
        <w:gridCol w:w="2112"/>
        <w:gridCol w:w="2112"/>
        <w:gridCol w:w="2112"/>
        <w:gridCol w:w="2113"/>
        <w:gridCol w:w="2113"/>
      </w:tblGrid>
      <w:tr>
        <w:trPr>
          <w:trHeight w:val="1" w:hRule="atLeast"/>
          <w:jc w:val="center"/>
        </w:trPr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</w:t>
            </w:r>
          </w:p>
        </w:tc>
        <w:tc>
          <w:tcPr>
            <w:tcW w:w="2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</w:t>
            </w:r>
          </w:p>
        </w:tc>
        <w:tc>
          <w:tcPr>
            <w:tcW w:w="2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</w:t>
            </w:r>
          </w:p>
        </w:tc>
      </w:tr>
      <w:tr>
        <w:trPr>
          <w:trHeight w:val="1" w:hRule="atLeast"/>
          <w:jc w:val="center"/>
        </w:trPr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52,5%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56,1%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64,9%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73,7%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82,4%</w:t>
            </w:r>
          </w:p>
        </w:tc>
        <w:tc>
          <w:tcPr>
            <w:tcW w:w="2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88,4%</w:t>
            </w:r>
          </w:p>
        </w:tc>
        <w:tc>
          <w:tcPr>
            <w:tcW w:w="2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94,40%</w:t>
            </w:r>
          </w:p>
        </w:tc>
      </w:tr>
    </w:tbl>
    <w:p>
      <w:pPr>
        <w:spacing w:before="0" w:after="0" w:line="240"/>
        <w:ind w:right="0" w:left="0" w:firstLine="54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00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источники финансирования поэтапного роста заработной платы работников учреждений культуры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>
        <w:tblInd w:w="108" w:type="dxa"/>
      </w:tblPr>
      <w:tblGrid>
        <w:gridCol w:w="3240"/>
        <w:gridCol w:w="4556"/>
        <w:gridCol w:w="1157"/>
        <w:gridCol w:w="1116"/>
        <w:gridCol w:w="1116"/>
        <w:gridCol w:w="1116"/>
        <w:gridCol w:w="1116"/>
        <w:gridCol w:w="1116"/>
      </w:tblGrid>
      <w:tr>
        <w:trPr>
          <w:trHeight w:val="652" w:hRule="auto"/>
          <w:jc w:val="left"/>
        </w:trPr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Показатели</w:t>
            </w:r>
          </w:p>
        </w:tc>
        <w:tc>
          <w:tcPr>
            <w:tcW w:w="4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 какого числа предусмотрено повышение з/платы работников культуры</w:t>
            </w:r>
          </w:p>
        </w:tc>
        <w:tc>
          <w:tcPr>
            <w:tcW w:w="1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2013</w:t>
            </w:r>
          </w:p>
        </w:tc>
        <w:tc>
          <w:tcPr>
            <w:tcW w:w="1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2014</w:t>
            </w:r>
          </w:p>
        </w:tc>
        <w:tc>
          <w:tcPr>
            <w:tcW w:w="1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2015</w:t>
            </w:r>
          </w:p>
        </w:tc>
        <w:tc>
          <w:tcPr>
            <w:tcW w:w="1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2016</w:t>
            </w:r>
          </w:p>
        </w:tc>
        <w:tc>
          <w:tcPr>
            <w:tcW w:w="1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2017</w:t>
            </w:r>
          </w:p>
        </w:tc>
        <w:tc>
          <w:tcPr>
            <w:tcW w:w="1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2018</w:t>
            </w:r>
          </w:p>
        </w:tc>
      </w:tr>
      <w:tr>
        <w:trPr>
          <w:trHeight w:val="536" w:hRule="auto"/>
          <w:jc w:val="left"/>
        </w:trPr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Всего потребность</w:t>
            </w:r>
          </w:p>
        </w:tc>
        <w:tc>
          <w:tcPr>
            <w:tcW w:w="4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23295,55</w:t>
            </w:r>
          </w:p>
        </w:tc>
        <w:tc>
          <w:tcPr>
            <w:tcW w:w="1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28677,64</w:t>
            </w:r>
          </w:p>
        </w:tc>
        <w:tc>
          <w:tcPr>
            <w:tcW w:w="1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34480,28</w:t>
            </w:r>
          </w:p>
        </w:tc>
        <w:tc>
          <w:tcPr>
            <w:tcW w:w="1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41133,04</w:t>
            </w:r>
          </w:p>
        </w:tc>
        <w:tc>
          <w:tcPr>
            <w:tcW w:w="1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43601,03</w:t>
            </w:r>
          </w:p>
        </w:tc>
        <w:tc>
          <w:tcPr>
            <w:tcW w:w="1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46217,10</w:t>
            </w:r>
          </w:p>
        </w:tc>
      </w:tr>
      <w:tr>
        <w:trPr>
          <w:trHeight w:val="268" w:hRule="auto"/>
          <w:jc w:val="left"/>
        </w:trPr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Из них:</w:t>
            </w:r>
          </w:p>
        </w:tc>
        <w:tc>
          <w:tcPr>
            <w:tcW w:w="4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4" w:hRule="auto"/>
          <w:jc w:val="left"/>
        </w:trPr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 счет бюджета (Ст.211)</w:t>
            </w:r>
          </w:p>
        </w:tc>
        <w:tc>
          <w:tcPr>
            <w:tcW w:w="4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23295,55</w:t>
            </w:r>
          </w:p>
        </w:tc>
        <w:tc>
          <w:tcPr>
            <w:tcW w:w="1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28677,64</w:t>
            </w:r>
          </w:p>
        </w:tc>
        <w:tc>
          <w:tcPr>
            <w:tcW w:w="1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34480,28</w:t>
            </w:r>
          </w:p>
        </w:tc>
        <w:tc>
          <w:tcPr>
            <w:tcW w:w="1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41133,04</w:t>
            </w:r>
          </w:p>
        </w:tc>
        <w:tc>
          <w:tcPr>
            <w:tcW w:w="1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43601,03</w:t>
            </w:r>
          </w:p>
        </w:tc>
        <w:tc>
          <w:tcPr>
            <w:tcW w:w="1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46217,10</w:t>
            </w:r>
          </w:p>
        </w:tc>
      </w:tr>
      <w:tr>
        <w:trPr>
          <w:trHeight w:val="352" w:hRule="auto"/>
          <w:jc w:val="left"/>
        </w:trPr>
        <w:tc>
          <w:tcPr>
            <w:tcW w:w="32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 счет внебюджета (Ст.211)</w:t>
            </w:r>
          </w:p>
        </w:tc>
        <w:tc>
          <w:tcPr>
            <w:tcW w:w="4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</w:tbl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Численность работников  учреждений культуры: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тыс. человек)</w:t>
      </w:r>
    </w:p>
    <w:tbl>
      <w:tblPr/>
      <w:tblGrid>
        <w:gridCol w:w="2112"/>
        <w:gridCol w:w="2112"/>
        <w:gridCol w:w="2112"/>
        <w:gridCol w:w="2112"/>
        <w:gridCol w:w="2112"/>
        <w:gridCol w:w="2113"/>
        <w:gridCol w:w="2113"/>
      </w:tblGrid>
      <w:tr>
        <w:trPr>
          <w:trHeight w:val="1" w:hRule="atLeast"/>
          <w:jc w:val="left"/>
        </w:trPr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</w:t>
            </w:r>
          </w:p>
        </w:tc>
        <w:tc>
          <w:tcPr>
            <w:tcW w:w="2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</w:t>
            </w:r>
          </w:p>
        </w:tc>
        <w:tc>
          <w:tcPr>
            <w:tcW w:w="2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год</w:t>
            </w:r>
          </w:p>
        </w:tc>
      </w:tr>
      <w:tr>
        <w:trPr>
          <w:trHeight w:val="1" w:hRule="atLeast"/>
          <w:jc w:val="left"/>
        </w:trPr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0,268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0,211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0,186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0,186</w:t>
            </w:r>
          </w:p>
        </w:tc>
        <w:tc>
          <w:tcPr>
            <w:tcW w:w="21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0,186</w:t>
            </w:r>
          </w:p>
        </w:tc>
        <w:tc>
          <w:tcPr>
            <w:tcW w:w="2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0,186</w:t>
            </w:r>
          </w:p>
        </w:tc>
        <w:tc>
          <w:tcPr>
            <w:tcW w:w="2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0,186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Основные мероприятия, направленные на повышение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эффективности и качества предоставляемых услуг в сфере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культуры, связанные с переходом на эффективный контракт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437" w:type="dxa"/>
      </w:tblPr>
      <w:tblGrid>
        <w:gridCol w:w="5211"/>
        <w:gridCol w:w="3969"/>
        <w:gridCol w:w="3043"/>
        <w:gridCol w:w="2911"/>
      </w:tblGrid>
      <w:tr>
        <w:trPr>
          <w:trHeight w:val="1" w:hRule="atLeast"/>
          <w:jc w:val="left"/>
        </w:trPr>
        <w:tc>
          <w:tcPr>
            <w:tcW w:w="5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мероприятия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Результат</w:t>
            </w:r>
          </w:p>
        </w:tc>
        <w:tc>
          <w:tcPr>
            <w:tcW w:w="3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Ответственный исполнитель</w:t>
            </w:r>
          </w:p>
        </w:tc>
        <w:tc>
          <w:tcPr>
            <w:tcW w:w="2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Сроки исполнения</w:t>
            </w:r>
          </w:p>
        </w:tc>
      </w:tr>
      <w:tr>
        <w:trPr>
          <w:trHeight w:val="1" w:hRule="atLeast"/>
          <w:jc w:val="left"/>
        </w:trPr>
        <w:tc>
          <w:tcPr>
            <w:tcW w:w="1513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Совершенствование системы оплаты труда</w:t>
            </w:r>
          </w:p>
        </w:tc>
      </w:tr>
      <w:tr>
        <w:trPr>
          <w:trHeight w:val="1" w:hRule="atLeast"/>
          <w:jc w:val="left"/>
        </w:trPr>
        <w:tc>
          <w:tcPr>
            <w:tcW w:w="5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Подготовка и утверждение методических рекомендаций по разработке показателей эффективности деятельности подведомственных учреждений культуры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Правовые акты администрации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Володарский район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Володарский район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IV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квартал 2013 </w:t>
            </w:r>
          </w:p>
        </w:tc>
      </w:tr>
      <w:tr>
        <w:trPr>
          <w:trHeight w:val="1" w:hRule="atLeast"/>
          <w:jc w:val="left"/>
        </w:trPr>
        <w:tc>
          <w:tcPr>
            <w:tcW w:w="5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Разработка (изменение) показателей эффективности деятельности подведомственных администрации муниципального образования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Приволжский район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учреждений и их руководителей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Правовые акты администрации муниципального образования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Володарский район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Володарский район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Ежегодно</w:t>
            </w:r>
          </w:p>
        </w:tc>
      </w:tr>
      <w:tr>
        <w:trPr>
          <w:trHeight w:val="1" w:hRule="atLeast"/>
          <w:jc w:val="left"/>
        </w:trPr>
        <w:tc>
          <w:tcPr>
            <w:tcW w:w="5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мероприятий с учетом специфики отрасли по возможному привлечению на повышение заработной платы не менее одной трети средств, получаемых за счет реорганизации учреждений культуры, а также по возможному привлечению средств от приносящей доход деятельности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Доклад администрации муниципального образования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Володарский район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Володарский район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Ежегодно</w:t>
            </w:r>
          </w:p>
        </w:tc>
      </w:tr>
      <w:tr>
        <w:trPr>
          <w:trHeight w:val="1" w:hRule="atLeast"/>
          <w:jc w:val="left"/>
        </w:trPr>
        <w:tc>
          <w:tcPr>
            <w:tcW w:w="5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Внесение изменений в примерные положения по оплате труда учреждений культуры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Правовые акты администрации муниципального образования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Володарский район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Володарский район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полугодие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2013 </w:t>
            </w:r>
          </w:p>
        </w:tc>
      </w:tr>
      <w:tr>
        <w:trPr>
          <w:trHeight w:val="1" w:hRule="atLeast"/>
          <w:jc w:val="left"/>
        </w:trPr>
        <w:tc>
          <w:tcPr>
            <w:tcW w:w="1513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Создание прозрачного механизма оплаты труда  руководителей учреждений культуры</w:t>
            </w:r>
          </w:p>
        </w:tc>
      </w:tr>
      <w:tr>
        <w:trPr>
          <w:trHeight w:val="1" w:hRule="atLeast"/>
          <w:jc w:val="left"/>
        </w:trPr>
        <w:tc>
          <w:tcPr>
            <w:tcW w:w="5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Организация мероприятий по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представлению руководителем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учреждения культуры  сведений о доходах, об имуществе и обязательствах имущественного характера руководителя, его супруги (супруга) и несовершеннолетних детей, а также граждан, претендующих на занятие соответствующих должностей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Трудовые договоры с руководителями учреждений культуры</w:t>
            </w:r>
          </w:p>
        </w:tc>
        <w:tc>
          <w:tcPr>
            <w:tcW w:w="3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Володарский район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Ежегодно</w:t>
            </w:r>
          </w:p>
        </w:tc>
      </w:tr>
      <w:tr>
        <w:trPr>
          <w:trHeight w:val="1" w:hRule="atLeast"/>
          <w:jc w:val="left"/>
        </w:trPr>
        <w:tc>
          <w:tcPr>
            <w:tcW w:w="1513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Развитие кадрового потенциала работников учреждений культуры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Осуществление мероприятий по обеспечению соответствия работников обновленным квалификационным требованиям  на основе повышения квалификации и переподготовки работников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Доклад администрации муниципального образования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Володарский район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Володарский район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2013 - 2018 </w:t>
            </w:r>
          </w:p>
        </w:tc>
      </w:tr>
      <w:tr>
        <w:trPr>
          <w:trHeight w:val="1" w:hRule="atLeast"/>
          <w:jc w:val="left"/>
        </w:trPr>
        <w:tc>
          <w:tcPr>
            <w:tcW w:w="5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мероприятий по организации заключения дополнительных соглашений к трудовым договорам (новых трудовых договоров) с работниками учреждений культуры в связи введением эффективного контракта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Трудовые договоры работников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учреждений культуры</w:t>
            </w:r>
          </w:p>
        </w:tc>
        <w:tc>
          <w:tcPr>
            <w:tcW w:w="3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Володарский район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Ежегодно</w:t>
            </w:r>
          </w:p>
        </w:tc>
      </w:tr>
      <w:tr>
        <w:trPr>
          <w:trHeight w:val="1" w:hRule="atLeast"/>
          <w:jc w:val="left"/>
        </w:trPr>
        <w:tc>
          <w:tcPr>
            <w:tcW w:w="5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Обеспечение дифференциации оплаты труда основного и прочего персонала, оптимизация расходов на административно-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управленческий 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вспомогательный персонал учреждений культуры, подведомственных администрации муниципального образования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Приволжский район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учетом предельной доли расходов на оплату их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труда в фонде оплаты труда учреждения - не более 40 процентов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Правовые акты муниципального образования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Володарский район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Володарский район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2013 - 2014</w:t>
            </w:r>
          </w:p>
        </w:tc>
      </w:tr>
      <w:tr>
        <w:trPr>
          <w:trHeight w:val="1" w:hRule="atLeast"/>
          <w:jc w:val="left"/>
        </w:trPr>
        <w:tc>
          <w:tcPr>
            <w:tcW w:w="1513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Мониторинг достижения целевых показателей средней заработной платы отдельных категорий работников, определенных Указом Президента Российской Федерации от 07.05.2012 № 597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Создание постоянно действующей рабочей группы муниципального образования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Приволжский район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оценке результатов реализации дорожной карты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Правовые акты муниципального образования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Володарский район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Володарский район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2013 </w:t>
            </w:r>
          </w:p>
        </w:tc>
      </w:tr>
      <w:tr>
        <w:trPr>
          <w:trHeight w:val="1" w:hRule="atLeast"/>
          <w:jc w:val="left"/>
        </w:trPr>
        <w:tc>
          <w:tcPr>
            <w:tcW w:w="5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мониторинга реализации мероприятий по повышению оплаты труда, предусмотренных в дорожной карте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Доклад администрации муниципального образования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Володарский район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15.07. 2013,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ежегодно, начиная с 2014,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января,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июля</w:t>
            </w:r>
          </w:p>
        </w:tc>
      </w:tr>
      <w:tr>
        <w:trPr>
          <w:trHeight w:val="1" w:hRule="atLeast"/>
          <w:jc w:val="left"/>
        </w:trPr>
        <w:tc>
          <w:tcPr>
            <w:tcW w:w="15134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Сопровождение дорожной карты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Разработка и утверждение учреждениями культуры Володарский района Астраханской области планов мероприятий по повышению эффективности деятельности учреждения в части оказания государственных услуг (выполнения работ) на основе целевых показателей деятельности учреждения, совершенствованию системы оплаты труда, включая мероприятия по повышению оплаты труда соответствующих категорий работников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Локальный акт учреждения культуры</w:t>
            </w:r>
          </w:p>
        </w:tc>
        <w:tc>
          <w:tcPr>
            <w:tcW w:w="3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учреждения культуры Володарского района Астраханской области</w:t>
            </w:r>
          </w:p>
        </w:tc>
        <w:tc>
          <w:tcPr>
            <w:tcW w:w="2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полугодие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2013 </w:t>
            </w:r>
          </w:p>
        </w:tc>
      </w:tr>
      <w:tr>
        <w:trPr>
          <w:trHeight w:val="1" w:hRule="atLeast"/>
          <w:jc w:val="left"/>
        </w:trPr>
        <w:tc>
          <w:tcPr>
            <w:tcW w:w="5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Разработка нормативных правовых актов, в том числе по совершенствованию оплаты труда работников учреждений культуры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Правовые акты муниципального образования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Володарский район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0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Володарский район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9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полугодие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2013 </w:t>
            </w:r>
          </w:p>
        </w:tc>
      </w:tr>
    </w:tbl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Верно: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